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u w:val="none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5311140</wp:posOffset>
            </wp:positionH>
            <wp:positionV relativeFrom="paragraph">
              <wp:posOffset>279495</wp:posOffset>
            </wp:positionV>
            <wp:extent cx="1070102" cy="134620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102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D0D0D"/>
          <w:u w:val="thick" w:color="0D0D0D"/>
        </w:rPr>
        <w:t>CURRICULUM VITAE</w:t>
      </w:r>
    </w:p>
    <w:p>
      <w:pPr>
        <w:pStyle w:val="BodyText"/>
        <w:spacing w:before="8"/>
        <w:rPr>
          <w:b/>
          <w:sz w:val="31"/>
        </w:rPr>
      </w:pPr>
    </w:p>
    <w:p>
      <w:pPr>
        <w:pStyle w:val="BodyText"/>
        <w:ind w:left="105"/>
      </w:pPr>
      <w:r>
        <w:rPr>
          <w:color w:val="0D0D0D"/>
        </w:rPr>
        <w:t>VINNY BABU</w:t>
      </w:r>
    </w:p>
    <w:p>
      <w:pPr>
        <w:pStyle w:val="BodyText"/>
        <w:spacing w:line="244" w:lineRule="auto"/>
        <w:ind w:left="105" w:right="6281"/>
      </w:pPr>
      <w:r>
        <w:rPr>
          <w:color w:val="0D0D0D"/>
        </w:rPr>
        <w:t>E-</w:t>
      </w:r>
      <w:hyperlink r:id="rId6">
        <w:r>
          <w:rPr>
            <w:color w:val="0D0D0D"/>
          </w:rPr>
          <w:t>mail: vinnybabu.mec@gmail.com</w:t>
        </w:r>
      </w:hyperlink>
      <w:r>
        <w:rPr>
          <w:color w:val="0D0D0D"/>
        </w:rPr>
        <w:t> Contact No</w:t>
      </w:r>
      <w:r>
        <w:rPr>
          <w:b/>
          <w:color w:val="0D0D0D"/>
        </w:rPr>
        <w:t>: </w:t>
      </w:r>
      <w:r>
        <w:rPr>
          <w:color w:val="0D0D0D"/>
        </w:rPr>
        <w:t>8891805436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3"/>
        </w:rPr>
      </w:pPr>
    </w:p>
    <w:p>
      <w:pPr>
        <w:pStyle w:val="Heading1"/>
        <w:spacing w:before="1"/>
        <w:rPr>
          <w:u w:val="none"/>
        </w:rPr>
      </w:pPr>
      <w:r>
        <w:rPr>
          <w:color w:val="0D0D0D"/>
          <w:u w:val="thick" w:color="0D0D0D"/>
        </w:rPr>
        <w:t>CAREER OBJECTIVE:</w:t>
      </w:r>
    </w:p>
    <w:p>
      <w:pPr>
        <w:pStyle w:val="BodyText"/>
        <w:spacing w:before="134"/>
        <w:ind w:left="107" w:hanging="5"/>
      </w:pPr>
      <w:r>
        <w:rPr>
          <w:color w:val="0D0D0D"/>
        </w:rPr>
        <w:t>To be a part of an esteemed organization and build a career where i can update and strengthen my knowledge and skills so as to contribute for the development of that organization and society.</w:t>
      </w:r>
    </w:p>
    <w:p>
      <w:pPr>
        <w:pStyle w:val="BodyText"/>
        <w:spacing w:before="5"/>
      </w:pPr>
    </w:p>
    <w:p>
      <w:pPr>
        <w:pStyle w:val="Heading1"/>
        <w:spacing w:before="1"/>
        <w:rPr>
          <w:u w:val="none"/>
        </w:rPr>
      </w:pPr>
      <w:r>
        <w:rPr>
          <w:color w:val="0D0D0D"/>
          <w:u w:val="thick" w:color="0D0D0D"/>
        </w:rPr>
        <w:t>ACADEMIC QUALIFICATIONS:</w:t>
      </w:r>
    </w:p>
    <w:p>
      <w:pPr>
        <w:pStyle w:val="BodyText"/>
        <w:spacing w:before="9" w:after="1"/>
        <w:rPr>
          <w:b/>
          <w:sz w:val="23"/>
        </w:rPr>
      </w:pPr>
    </w:p>
    <w:tbl>
      <w:tblPr>
        <w:tblW w:w="0" w:type="auto"/>
        <w:jc w:val="left"/>
        <w:tblInd w:w="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8"/>
        <w:gridCol w:w="1738"/>
        <w:gridCol w:w="3365"/>
        <w:gridCol w:w="1892"/>
      </w:tblGrid>
      <w:tr>
        <w:trPr>
          <w:trHeight w:val="460" w:hRule="atLeast"/>
        </w:trPr>
        <w:tc>
          <w:tcPr>
            <w:tcW w:w="1478" w:type="dxa"/>
          </w:tcPr>
          <w:p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DEGREE</w:t>
            </w:r>
          </w:p>
        </w:tc>
        <w:tc>
          <w:tcPr>
            <w:tcW w:w="1738" w:type="dxa"/>
          </w:tcPr>
          <w:p>
            <w:pPr>
              <w:pStyle w:val="TableParagraph"/>
              <w:ind w:left="283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YEAR</w:t>
            </w:r>
          </w:p>
        </w:tc>
        <w:tc>
          <w:tcPr>
            <w:tcW w:w="3365" w:type="dxa"/>
          </w:tcPr>
          <w:p>
            <w:pPr>
              <w:pStyle w:val="TableParagraph"/>
              <w:ind w:left="801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INSTITUTION</w:t>
            </w:r>
          </w:p>
        </w:tc>
        <w:tc>
          <w:tcPr>
            <w:tcW w:w="1892" w:type="dxa"/>
          </w:tcPr>
          <w:p>
            <w:pPr>
              <w:pStyle w:val="TableParagraph"/>
              <w:ind w:left="101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PERCENTAGE</w:t>
            </w:r>
          </w:p>
        </w:tc>
      </w:tr>
      <w:tr>
        <w:trPr>
          <w:trHeight w:val="580" w:hRule="atLeast"/>
        </w:trPr>
        <w:tc>
          <w:tcPr>
            <w:tcW w:w="1478" w:type="dxa"/>
          </w:tcPr>
          <w:p>
            <w:pPr>
              <w:pStyle w:val="TableParagraph"/>
              <w:spacing w:before="159"/>
              <w:ind w:left="114"/>
              <w:rPr>
                <w:sz w:val="24"/>
              </w:rPr>
            </w:pPr>
            <w:r>
              <w:rPr>
                <w:color w:val="0D0D0D"/>
                <w:sz w:val="24"/>
              </w:rPr>
              <w:t>M.Tech</w:t>
            </w:r>
          </w:p>
        </w:tc>
        <w:tc>
          <w:tcPr>
            <w:tcW w:w="1738" w:type="dxa"/>
          </w:tcPr>
          <w:p>
            <w:pPr>
              <w:pStyle w:val="TableParagraph"/>
              <w:spacing w:before="159"/>
              <w:rPr>
                <w:sz w:val="24"/>
              </w:rPr>
            </w:pPr>
            <w:r>
              <w:rPr>
                <w:color w:val="0D0D0D"/>
                <w:sz w:val="24"/>
              </w:rPr>
              <w:t>2017</w:t>
            </w:r>
          </w:p>
        </w:tc>
        <w:tc>
          <w:tcPr>
            <w:tcW w:w="3365" w:type="dxa"/>
          </w:tcPr>
          <w:p>
            <w:pPr>
              <w:pStyle w:val="TableParagraph"/>
              <w:spacing w:line="270" w:lineRule="atLeast" w:before="20"/>
              <w:ind w:left="362" w:right="83" w:firstLine="213"/>
              <w:rPr>
                <w:sz w:val="24"/>
              </w:rPr>
            </w:pPr>
            <w:r>
              <w:rPr>
                <w:color w:val="0D0D0D"/>
                <w:sz w:val="24"/>
              </w:rPr>
              <w:t>Mar Athanasius College of Engineering, Kothamangalam</w:t>
            </w:r>
          </w:p>
        </w:tc>
        <w:tc>
          <w:tcPr>
            <w:tcW w:w="1892" w:type="dxa"/>
          </w:tcPr>
          <w:p>
            <w:pPr>
              <w:pStyle w:val="TableParagraph"/>
              <w:spacing w:before="159"/>
              <w:ind w:left="305"/>
              <w:rPr>
                <w:sz w:val="24"/>
              </w:rPr>
            </w:pPr>
            <w:r>
              <w:rPr>
                <w:color w:val="0D0D0D"/>
                <w:sz w:val="24"/>
              </w:rPr>
              <w:t>8.43 (CGPA)</w:t>
            </w:r>
          </w:p>
        </w:tc>
      </w:tr>
      <w:tr>
        <w:trPr>
          <w:trHeight w:val="635" w:hRule="atLeast"/>
        </w:trPr>
        <w:tc>
          <w:tcPr>
            <w:tcW w:w="1478" w:type="dxa"/>
          </w:tcPr>
          <w:p>
            <w:pPr>
              <w:pStyle w:val="TableParagraph"/>
              <w:spacing w:before="135"/>
              <w:ind w:left="138"/>
              <w:rPr>
                <w:sz w:val="24"/>
              </w:rPr>
            </w:pPr>
            <w:r>
              <w:rPr>
                <w:color w:val="0D0D0D"/>
                <w:sz w:val="24"/>
              </w:rPr>
              <w:t>B.Tech</w:t>
            </w:r>
          </w:p>
        </w:tc>
        <w:tc>
          <w:tcPr>
            <w:tcW w:w="1738" w:type="dxa"/>
          </w:tcPr>
          <w:p>
            <w:pPr>
              <w:pStyle w:val="TableParagraph"/>
              <w:spacing w:before="135"/>
              <w:rPr>
                <w:sz w:val="24"/>
              </w:rPr>
            </w:pPr>
            <w:r>
              <w:rPr>
                <w:color w:val="0D0D0D"/>
                <w:sz w:val="24"/>
              </w:rPr>
              <w:t>2013</w:t>
            </w:r>
          </w:p>
        </w:tc>
        <w:tc>
          <w:tcPr>
            <w:tcW w:w="3365" w:type="dxa"/>
          </w:tcPr>
          <w:p>
            <w:pPr>
              <w:pStyle w:val="TableParagraph"/>
              <w:spacing w:before="1"/>
              <w:ind w:left="470"/>
              <w:rPr>
                <w:sz w:val="24"/>
              </w:rPr>
            </w:pPr>
            <w:r>
              <w:rPr>
                <w:color w:val="0D0D0D"/>
                <w:sz w:val="24"/>
              </w:rPr>
              <w:t>Govt. Model Engineering</w:t>
            </w:r>
          </w:p>
          <w:p>
            <w:pPr>
              <w:pStyle w:val="TableParagraph"/>
              <w:spacing w:before="41"/>
              <w:ind w:left="1144"/>
              <w:rPr>
                <w:sz w:val="24"/>
              </w:rPr>
            </w:pPr>
            <w:r>
              <w:rPr>
                <w:color w:val="0D0D0D"/>
                <w:sz w:val="24"/>
              </w:rPr>
              <w:t>College, Cochin</w:t>
            </w:r>
          </w:p>
        </w:tc>
        <w:tc>
          <w:tcPr>
            <w:tcW w:w="1892" w:type="dxa"/>
          </w:tcPr>
          <w:p>
            <w:pPr>
              <w:pStyle w:val="TableParagraph"/>
              <w:spacing w:before="135"/>
              <w:ind w:left="329"/>
              <w:rPr>
                <w:sz w:val="24"/>
              </w:rPr>
            </w:pPr>
            <w:r>
              <w:rPr>
                <w:color w:val="0D0D0D"/>
                <w:sz w:val="24"/>
              </w:rPr>
              <w:t>64.05%</w:t>
            </w:r>
          </w:p>
        </w:tc>
      </w:tr>
      <w:tr>
        <w:trPr>
          <w:trHeight w:val="637" w:hRule="atLeast"/>
        </w:trPr>
        <w:tc>
          <w:tcPr>
            <w:tcW w:w="1478" w:type="dxa"/>
          </w:tcPr>
          <w:p>
            <w:pPr>
              <w:pStyle w:val="TableParagraph"/>
              <w:spacing w:before="138"/>
              <w:ind w:left="33"/>
              <w:rPr>
                <w:sz w:val="24"/>
              </w:rPr>
            </w:pPr>
            <w:r>
              <w:rPr>
                <w:color w:val="0D0D0D"/>
                <w:sz w:val="24"/>
              </w:rPr>
              <w:t>Plus Two</w:t>
            </w:r>
          </w:p>
        </w:tc>
        <w:tc>
          <w:tcPr>
            <w:tcW w:w="1738" w:type="dxa"/>
          </w:tcPr>
          <w:p>
            <w:pPr>
              <w:pStyle w:val="TableParagraph"/>
              <w:spacing w:before="138"/>
              <w:rPr>
                <w:sz w:val="24"/>
              </w:rPr>
            </w:pPr>
            <w:r>
              <w:rPr>
                <w:color w:val="0D0D0D"/>
                <w:sz w:val="24"/>
              </w:rPr>
              <w:t>2009</w:t>
            </w:r>
          </w:p>
        </w:tc>
        <w:tc>
          <w:tcPr>
            <w:tcW w:w="3365" w:type="dxa"/>
          </w:tcPr>
          <w:p>
            <w:pPr>
              <w:pStyle w:val="TableParagraph"/>
              <w:spacing w:before="3"/>
              <w:ind w:left="842"/>
              <w:rPr>
                <w:sz w:val="24"/>
              </w:rPr>
            </w:pPr>
            <w:r>
              <w:rPr>
                <w:color w:val="0D0D0D"/>
                <w:sz w:val="24"/>
              </w:rPr>
              <w:t>St.Antony’s HSS,</w:t>
            </w:r>
          </w:p>
          <w:p>
            <w:pPr>
              <w:pStyle w:val="TableParagraph"/>
              <w:spacing w:before="41"/>
              <w:ind w:left="1505"/>
              <w:rPr>
                <w:sz w:val="24"/>
              </w:rPr>
            </w:pPr>
            <w:r>
              <w:rPr>
                <w:color w:val="0D0D0D"/>
                <w:sz w:val="24"/>
              </w:rPr>
              <w:t>Pudukad</w:t>
            </w:r>
          </w:p>
        </w:tc>
        <w:tc>
          <w:tcPr>
            <w:tcW w:w="1892" w:type="dxa"/>
          </w:tcPr>
          <w:p>
            <w:pPr>
              <w:pStyle w:val="TableParagraph"/>
              <w:spacing w:before="138"/>
              <w:ind w:left="480"/>
              <w:rPr>
                <w:sz w:val="24"/>
              </w:rPr>
            </w:pPr>
            <w:r>
              <w:rPr>
                <w:color w:val="0D0D0D"/>
                <w:sz w:val="24"/>
              </w:rPr>
              <w:t>78%</w:t>
            </w:r>
          </w:p>
        </w:tc>
      </w:tr>
      <w:tr>
        <w:trPr>
          <w:trHeight w:val="637" w:hRule="atLeast"/>
        </w:trPr>
        <w:tc>
          <w:tcPr>
            <w:tcW w:w="1478" w:type="dxa"/>
          </w:tcPr>
          <w:p>
            <w:pPr>
              <w:pStyle w:val="TableParagraph"/>
              <w:spacing w:before="136"/>
              <w:ind w:left="275"/>
              <w:rPr>
                <w:sz w:val="24"/>
              </w:rPr>
            </w:pPr>
            <w:r>
              <w:rPr>
                <w:color w:val="0D0D0D"/>
                <w:sz w:val="24"/>
              </w:rPr>
              <w:t>10th</w:t>
            </w:r>
          </w:p>
        </w:tc>
        <w:tc>
          <w:tcPr>
            <w:tcW w:w="1738" w:type="dxa"/>
          </w:tcPr>
          <w:p>
            <w:pPr>
              <w:pStyle w:val="TableParagraph"/>
              <w:spacing w:before="136"/>
              <w:rPr>
                <w:sz w:val="24"/>
              </w:rPr>
            </w:pPr>
            <w:r>
              <w:rPr>
                <w:color w:val="0D0D0D"/>
                <w:sz w:val="24"/>
              </w:rPr>
              <w:t>2007</w:t>
            </w:r>
          </w:p>
        </w:tc>
        <w:tc>
          <w:tcPr>
            <w:tcW w:w="3365" w:type="dxa"/>
          </w:tcPr>
          <w:p>
            <w:pPr>
              <w:pStyle w:val="TableParagraph"/>
              <w:spacing w:before="1"/>
              <w:ind w:left="0" w:right="578"/>
              <w:jc w:val="right"/>
              <w:rPr>
                <w:sz w:val="24"/>
              </w:rPr>
            </w:pPr>
            <w:r>
              <w:rPr>
                <w:color w:val="0D0D0D"/>
                <w:sz w:val="24"/>
              </w:rPr>
              <w:t>Little Flower</w:t>
            </w:r>
            <w:r>
              <w:rPr>
                <w:color w:val="0D0D0D"/>
                <w:spacing w:val="-5"/>
                <w:sz w:val="24"/>
              </w:rPr>
              <w:t> </w:t>
            </w:r>
            <w:r>
              <w:rPr>
                <w:color w:val="0D0D0D"/>
                <w:sz w:val="24"/>
              </w:rPr>
              <w:t>Convent</w:t>
            </w:r>
          </w:p>
          <w:p>
            <w:pPr>
              <w:pStyle w:val="TableParagraph"/>
              <w:spacing w:before="41"/>
              <w:ind w:left="0" w:right="560"/>
              <w:jc w:val="right"/>
              <w:rPr>
                <w:sz w:val="24"/>
              </w:rPr>
            </w:pPr>
            <w:r>
              <w:rPr>
                <w:color w:val="0D0D0D"/>
                <w:sz w:val="24"/>
              </w:rPr>
              <w:t>HSS,</w:t>
            </w:r>
            <w:r>
              <w:rPr>
                <w:color w:val="0D0D0D"/>
                <w:spacing w:val="-4"/>
                <w:sz w:val="24"/>
              </w:rPr>
              <w:t> </w:t>
            </w:r>
            <w:r>
              <w:rPr>
                <w:color w:val="0D0D0D"/>
                <w:sz w:val="24"/>
              </w:rPr>
              <w:t>Irinjalakuda</w:t>
            </w:r>
          </w:p>
        </w:tc>
        <w:tc>
          <w:tcPr>
            <w:tcW w:w="1892" w:type="dxa"/>
          </w:tcPr>
          <w:p>
            <w:pPr>
              <w:pStyle w:val="TableParagraph"/>
              <w:spacing w:before="136"/>
              <w:ind w:left="480"/>
              <w:rPr>
                <w:sz w:val="24"/>
              </w:rPr>
            </w:pPr>
            <w:r>
              <w:rPr>
                <w:color w:val="0D0D0D"/>
                <w:sz w:val="24"/>
              </w:rPr>
              <w:t>80%</w:t>
            </w:r>
          </w:p>
        </w:tc>
      </w:tr>
    </w:tbl>
    <w:p>
      <w:pPr>
        <w:pStyle w:val="BodyText"/>
        <w:spacing w:before="1"/>
        <w:rPr>
          <w:b/>
        </w:rPr>
      </w:pPr>
    </w:p>
    <w:p>
      <w:pPr>
        <w:spacing w:before="0"/>
        <w:ind w:left="105" w:right="0" w:firstLine="0"/>
        <w:jc w:val="left"/>
        <w:rPr>
          <w:b/>
          <w:sz w:val="24"/>
        </w:rPr>
      </w:pPr>
      <w:r>
        <w:rPr>
          <w:b/>
          <w:color w:val="0D0D0D"/>
          <w:sz w:val="24"/>
          <w:u w:val="thick" w:color="0D0D0D"/>
        </w:rPr>
        <w:t>IT / TECHNICAL SKILLS:</w:t>
      </w:r>
    </w:p>
    <w:p>
      <w:pPr>
        <w:pStyle w:val="BodyText"/>
        <w:spacing w:before="9"/>
        <w:rPr>
          <w:b/>
          <w:sz w:val="15"/>
        </w:rPr>
      </w:pPr>
    </w:p>
    <w:p>
      <w:pPr>
        <w:pStyle w:val="BodyText"/>
        <w:spacing w:line="242" w:lineRule="auto" w:before="90"/>
        <w:ind w:left="105" w:right="1995"/>
      </w:pPr>
      <w:r>
        <w:rPr>
          <w:color w:val="0D0D0D"/>
        </w:rPr>
        <w:t>Application Software: Auto CAD, Revit, CGLUX, RELUX, MATLAB, LATEX Software packages: MS Office</w:t>
      </w:r>
    </w:p>
    <w:p>
      <w:pPr>
        <w:pStyle w:val="BodyText"/>
        <w:spacing w:before="11"/>
        <w:rPr>
          <w:sz w:val="23"/>
        </w:rPr>
      </w:pPr>
    </w:p>
    <w:p>
      <w:pPr>
        <w:pStyle w:val="Heading1"/>
        <w:rPr>
          <w:u w:val="none"/>
        </w:rPr>
      </w:pPr>
      <w:r>
        <w:rPr>
          <w:color w:val="0D0D0D"/>
          <w:u w:val="thick" w:color="0D0D0D"/>
        </w:rPr>
        <w:t>WORK EXPERIENCE:</w:t>
      </w:r>
    </w:p>
    <w:p>
      <w:pPr>
        <w:pStyle w:val="BodyText"/>
        <w:spacing w:before="9"/>
        <w:rPr>
          <w:b/>
          <w:sz w:val="15"/>
        </w:rPr>
      </w:pPr>
    </w:p>
    <w:p>
      <w:pPr>
        <w:pStyle w:val="ListParagraph"/>
        <w:numPr>
          <w:ilvl w:val="0"/>
          <w:numId w:val="1"/>
        </w:numPr>
        <w:tabs>
          <w:tab w:pos="467" w:val="left" w:leader="none"/>
        </w:tabs>
        <w:spacing w:line="240" w:lineRule="auto" w:before="90" w:after="0"/>
        <w:ind w:left="466" w:right="1634" w:hanging="361"/>
        <w:jc w:val="left"/>
        <w:rPr>
          <w:sz w:val="24"/>
        </w:rPr>
      </w:pPr>
      <w:r>
        <w:rPr>
          <w:color w:val="0D0D0D"/>
          <w:sz w:val="24"/>
        </w:rPr>
        <w:t>Kerala State Electricity Board(KSEB)-110kV Substation, Pudukad, Kerala,</w:t>
      </w:r>
      <w:r>
        <w:rPr>
          <w:color w:val="0D0D0D"/>
          <w:spacing w:val="-11"/>
          <w:sz w:val="24"/>
        </w:rPr>
        <w:t> </w:t>
      </w:r>
      <w:r>
        <w:rPr>
          <w:color w:val="0D0D0D"/>
          <w:sz w:val="24"/>
        </w:rPr>
        <w:t>India Designation: Substation Operator (Electrical</w:t>
      </w:r>
      <w:r>
        <w:rPr>
          <w:color w:val="0D0D0D"/>
          <w:spacing w:val="-3"/>
          <w:sz w:val="24"/>
        </w:rPr>
        <w:t> </w:t>
      </w:r>
      <w:r>
        <w:rPr>
          <w:color w:val="0D0D0D"/>
          <w:sz w:val="24"/>
        </w:rPr>
        <w:t>Engineer)</w:t>
      </w:r>
    </w:p>
    <w:p>
      <w:pPr>
        <w:pStyle w:val="BodyText"/>
        <w:ind w:left="466"/>
      </w:pPr>
      <w:r>
        <w:rPr>
          <w:color w:val="0D0D0D"/>
        </w:rPr>
        <w:t>Duration: September 2013 to July 2015</w:t>
      </w:r>
    </w:p>
    <w:p>
      <w:pPr>
        <w:pStyle w:val="BodyText"/>
        <w:rPr>
          <w:sz w:val="25"/>
        </w:rPr>
      </w:pPr>
    </w:p>
    <w:p>
      <w:pPr>
        <w:pStyle w:val="ListParagraph"/>
        <w:numPr>
          <w:ilvl w:val="1"/>
          <w:numId w:val="1"/>
        </w:numPr>
        <w:tabs>
          <w:tab w:pos="828" w:val="left" w:leader="none"/>
          <w:tab w:pos="829" w:val="left" w:leader="none"/>
        </w:tabs>
        <w:spacing w:line="230" w:lineRule="auto" w:before="0" w:after="0"/>
        <w:ind w:left="828" w:right="432" w:hanging="360"/>
        <w:jc w:val="left"/>
        <w:rPr>
          <w:rFonts w:ascii="Arial" w:hAnsi="Arial"/>
          <w:sz w:val="22"/>
        </w:rPr>
      </w:pPr>
      <w:r>
        <w:rPr>
          <w:color w:val="0D0D0D"/>
          <w:sz w:val="24"/>
        </w:rPr>
        <w:t>Operation and Maintenance of power transformers, Circuit breakers (SF6, Vacuum), CTs, PTs, Battery, Battery Chargers etc.</w:t>
      </w:r>
    </w:p>
    <w:p>
      <w:pPr>
        <w:pStyle w:val="ListParagraph"/>
        <w:numPr>
          <w:ilvl w:val="1"/>
          <w:numId w:val="1"/>
        </w:numPr>
        <w:tabs>
          <w:tab w:pos="828" w:val="left" w:leader="none"/>
          <w:tab w:pos="829" w:val="left" w:leader="none"/>
        </w:tabs>
        <w:spacing w:line="240" w:lineRule="auto" w:before="6" w:after="0"/>
        <w:ind w:left="828" w:right="0" w:hanging="361"/>
        <w:jc w:val="left"/>
        <w:rPr>
          <w:rFonts w:ascii="Arial" w:hAnsi="Arial"/>
          <w:sz w:val="22"/>
        </w:rPr>
      </w:pPr>
      <w:r>
        <w:rPr>
          <w:color w:val="0D0D0D"/>
          <w:sz w:val="24"/>
        </w:rPr>
        <w:t>Operation and maintenance of Control Panels, LAs, Isolators, and Relay Protection</w:t>
      </w:r>
      <w:r>
        <w:rPr>
          <w:color w:val="0D0D0D"/>
          <w:spacing w:val="-9"/>
          <w:sz w:val="24"/>
        </w:rPr>
        <w:t> </w:t>
      </w:r>
      <w:r>
        <w:rPr>
          <w:color w:val="0D0D0D"/>
          <w:sz w:val="24"/>
        </w:rPr>
        <w:t>scheme.</w:t>
      </w:r>
    </w:p>
    <w:p>
      <w:pPr>
        <w:pStyle w:val="ListParagraph"/>
        <w:numPr>
          <w:ilvl w:val="1"/>
          <w:numId w:val="1"/>
        </w:numPr>
        <w:tabs>
          <w:tab w:pos="828" w:val="left" w:leader="none"/>
          <w:tab w:pos="829" w:val="left" w:leader="none"/>
        </w:tabs>
        <w:spacing w:line="230" w:lineRule="auto" w:before="50" w:after="0"/>
        <w:ind w:left="828" w:right="1301" w:hanging="360"/>
        <w:jc w:val="left"/>
        <w:rPr>
          <w:rFonts w:ascii="Arial" w:hAnsi="Arial"/>
          <w:sz w:val="22"/>
        </w:rPr>
      </w:pPr>
      <w:r>
        <w:rPr>
          <w:color w:val="0D0D0D"/>
          <w:sz w:val="24"/>
        </w:rPr>
        <w:t>Maintaining various records such as monthly operating reviews, daily log</w:t>
      </w:r>
      <w:r>
        <w:rPr>
          <w:color w:val="0D0D0D"/>
          <w:spacing w:val="-13"/>
          <w:sz w:val="24"/>
        </w:rPr>
        <w:t> </w:t>
      </w:r>
      <w:r>
        <w:rPr>
          <w:color w:val="0D0D0D"/>
          <w:sz w:val="24"/>
        </w:rPr>
        <w:t>sheets, different registers</w:t>
      </w:r>
      <w:r>
        <w:rPr>
          <w:color w:val="0D0D0D"/>
          <w:spacing w:val="1"/>
          <w:sz w:val="24"/>
        </w:rPr>
        <w:t> </w:t>
      </w:r>
      <w:r>
        <w:rPr>
          <w:color w:val="0D0D0D"/>
          <w:sz w:val="24"/>
        </w:rPr>
        <w:t>etc.</w:t>
      </w:r>
    </w:p>
    <w:p>
      <w:pPr>
        <w:pStyle w:val="ListParagraph"/>
        <w:numPr>
          <w:ilvl w:val="1"/>
          <w:numId w:val="1"/>
        </w:numPr>
        <w:tabs>
          <w:tab w:pos="828" w:val="left" w:leader="none"/>
          <w:tab w:pos="829" w:val="left" w:leader="none"/>
        </w:tabs>
        <w:spacing w:line="240" w:lineRule="auto" w:before="3" w:after="0"/>
        <w:ind w:left="828" w:right="0" w:hanging="361"/>
        <w:jc w:val="left"/>
        <w:rPr>
          <w:rFonts w:ascii="Arial" w:hAnsi="Arial"/>
          <w:sz w:val="22"/>
        </w:rPr>
      </w:pPr>
      <w:r>
        <w:rPr>
          <w:color w:val="0D0D0D"/>
          <w:sz w:val="24"/>
        </w:rPr>
        <w:t>Issuing permit work on Power Transformers and EHT feeders to concerned</w:t>
      </w:r>
      <w:r>
        <w:rPr>
          <w:color w:val="0D0D0D"/>
          <w:spacing w:val="-5"/>
          <w:sz w:val="24"/>
        </w:rPr>
        <w:t> </w:t>
      </w:r>
      <w:r>
        <w:rPr>
          <w:color w:val="0D0D0D"/>
          <w:sz w:val="24"/>
        </w:rPr>
        <w:t>authorities.</w:t>
      </w:r>
    </w:p>
    <w:p>
      <w:pPr>
        <w:pStyle w:val="ListParagraph"/>
        <w:numPr>
          <w:ilvl w:val="1"/>
          <w:numId w:val="1"/>
        </w:numPr>
        <w:tabs>
          <w:tab w:pos="828" w:val="left" w:leader="none"/>
          <w:tab w:pos="829" w:val="left" w:leader="none"/>
        </w:tabs>
        <w:spacing w:line="240" w:lineRule="auto" w:before="46" w:after="0"/>
        <w:ind w:left="828" w:right="0" w:hanging="361"/>
        <w:jc w:val="left"/>
        <w:rPr>
          <w:rFonts w:ascii="Arial" w:hAnsi="Arial"/>
          <w:sz w:val="22"/>
        </w:rPr>
      </w:pPr>
      <w:r>
        <w:rPr>
          <w:color w:val="0D0D0D"/>
          <w:sz w:val="24"/>
        </w:rPr>
        <w:t>Supervising all ongoing works at yard and</w:t>
      </w:r>
      <w:r>
        <w:rPr>
          <w:color w:val="0D0D0D"/>
          <w:spacing w:val="1"/>
          <w:sz w:val="24"/>
        </w:rPr>
        <w:t> </w:t>
      </w:r>
      <w:r>
        <w:rPr>
          <w:color w:val="0D0D0D"/>
          <w:sz w:val="24"/>
        </w:rPr>
        <w:t>line.</w:t>
      </w:r>
    </w:p>
    <w:p>
      <w:pPr>
        <w:pStyle w:val="BodyText"/>
        <w:spacing w:before="4"/>
        <w:rPr>
          <w:sz w:val="28"/>
        </w:rPr>
      </w:pPr>
    </w:p>
    <w:p>
      <w:pPr>
        <w:pStyle w:val="Heading1"/>
        <w:rPr>
          <w:u w:val="none"/>
        </w:rPr>
      </w:pPr>
      <w:r>
        <w:rPr>
          <w:color w:val="0D0D0D"/>
          <w:u w:val="thick" w:color="0D0D0D"/>
        </w:rPr>
        <w:t>PROJECT:</w:t>
      </w:r>
    </w:p>
    <w:p>
      <w:pPr>
        <w:pStyle w:val="BodyText"/>
        <w:spacing w:before="198"/>
        <w:ind w:left="105"/>
      </w:pPr>
      <w:r>
        <w:rPr>
          <w:color w:val="0D0D0D"/>
        </w:rPr>
        <w:t>INTERLEAVED BUCK CONVERTER WITH SYNCHRONOUS RECTIFICATION</w:t>
      </w:r>
    </w:p>
    <w:p>
      <w:pPr>
        <w:pStyle w:val="ListParagraph"/>
        <w:numPr>
          <w:ilvl w:val="1"/>
          <w:numId w:val="1"/>
        </w:numPr>
        <w:tabs>
          <w:tab w:pos="828" w:val="left" w:leader="none"/>
          <w:tab w:pos="829" w:val="left" w:leader="none"/>
        </w:tabs>
        <w:spacing w:line="240" w:lineRule="auto" w:before="5" w:after="0"/>
        <w:ind w:left="828" w:right="0" w:hanging="361"/>
        <w:jc w:val="left"/>
        <w:rPr>
          <w:rFonts w:ascii="Arial" w:hAnsi="Arial"/>
          <w:sz w:val="22"/>
        </w:rPr>
      </w:pPr>
      <w:r>
        <w:rPr>
          <w:color w:val="0D0D0D"/>
          <w:sz w:val="24"/>
        </w:rPr>
        <w:t>Designed for improving voltage conversion ratio</w:t>
      </w:r>
    </w:p>
    <w:p>
      <w:pPr>
        <w:spacing w:after="0" w:line="240" w:lineRule="auto"/>
        <w:jc w:val="left"/>
        <w:rPr>
          <w:rFonts w:ascii="Arial" w:hAnsi="Arial"/>
          <w:sz w:val="22"/>
        </w:rPr>
        <w:sectPr>
          <w:type w:val="continuous"/>
          <w:pgSz w:w="12240" w:h="15840"/>
          <w:pgMar w:top="1160" w:bottom="280" w:left="900" w:right="1440"/>
        </w:sectPr>
      </w:pPr>
    </w:p>
    <w:p>
      <w:pPr>
        <w:pStyle w:val="ListParagraph"/>
        <w:numPr>
          <w:ilvl w:val="1"/>
          <w:numId w:val="1"/>
        </w:numPr>
        <w:tabs>
          <w:tab w:pos="828" w:val="left" w:leader="none"/>
          <w:tab w:pos="829" w:val="left" w:leader="none"/>
        </w:tabs>
        <w:spacing w:line="240" w:lineRule="auto" w:before="78" w:after="0"/>
        <w:ind w:left="828" w:right="0" w:hanging="361"/>
        <w:jc w:val="left"/>
        <w:rPr>
          <w:rFonts w:ascii="Arial" w:hAnsi="Arial"/>
          <w:sz w:val="22"/>
        </w:rPr>
      </w:pPr>
      <w:r>
        <w:rPr>
          <w:color w:val="0D0D0D"/>
          <w:sz w:val="24"/>
        </w:rPr>
        <w:t>Main aim to reduce power</w:t>
      </w:r>
      <w:r>
        <w:rPr>
          <w:color w:val="0D0D0D"/>
          <w:spacing w:val="-2"/>
          <w:sz w:val="24"/>
        </w:rPr>
        <w:t> </w:t>
      </w:r>
      <w:r>
        <w:rPr>
          <w:color w:val="0D0D0D"/>
          <w:sz w:val="24"/>
        </w:rPr>
        <w:t>loss</w:t>
      </w:r>
    </w:p>
    <w:p>
      <w:pPr>
        <w:pStyle w:val="BodyText"/>
        <w:spacing w:before="7"/>
        <w:rPr>
          <w:sz w:val="27"/>
        </w:rPr>
      </w:pPr>
    </w:p>
    <w:p>
      <w:pPr>
        <w:pStyle w:val="Heading1"/>
        <w:rPr>
          <w:u w:val="none"/>
        </w:rPr>
      </w:pPr>
      <w:r>
        <w:rPr>
          <w:color w:val="0D0D0D"/>
          <w:u w:val="thick" w:color="0D0D0D"/>
        </w:rPr>
        <w:t>INDUSTRIAL TRAINING:</w:t>
      </w:r>
    </w:p>
    <w:p>
      <w:pPr>
        <w:pStyle w:val="BodyText"/>
        <w:spacing w:before="11"/>
        <w:rPr>
          <w:b/>
          <w:sz w:val="15"/>
        </w:rPr>
      </w:pPr>
    </w:p>
    <w:p>
      <w:pPr>
        <w:pStyle w:val="ListParagraph"/>
        <w:numPr>
          <w:ilvl w:val="1"/>
          <w:numId w:val="1"/>
        </w:numPr>
        <w:tabs>
          <w:tab w:pos="852" w:val="left" w:leader="none"/>
          <w:tab w:pos="853" w:val="left" w:leader="none"/>
        </w:tabs>
        <w:spacing w:line="240" w:lineRule="auto" w:before="89" w:after="0"/>
        <w:ind w:left="852" w:right="0" w:hanging="361"/>
        <w:jc w:val="left"/>
        <w:rPr>
          <w:rFonts w:ascii="Arial" w:hAnsi="Arial"/>
          <w:sz w:val="24"/>
        </w:rPr>
      </w:pPr>
      <w:r>
        <w:rPr>
          <w:color w:val="0D0D0D"/>
          <w:sz w:val="24"/>
        </w:rPr>
        <w:t>Kerala State Electronics Development Corporation</w:t>
      </w:r>
      <w:r>
        <w:rPr>
          <w:color w:val="0D0D0D"/>
          <w:spacing w:val="1"/>
          <w:sz w:val="24"/>
        </w:rPr>
        <w:t> </w:t>
      </w:r>
      <w:r>
        <w:rPr>
          <w:color w:val="0D0D0D"/>
          <w:sz w:val="24"/>
        </w:rPr>
        <w:t>LTD.(KELTRON)</w:t>
      </w:r>
    </w:p>
    <w:p>
      <w:pPr>
        <w:pStyle w:val="ListParagraph"/>
        <w:numPr>
          <w:ilvl w:val="1"/>
          <w:numId w:val="1"/>
        </w:numPr>
        <w:tabs>
          <w:tab w:pos="852" w:val="left" w:leader="none"/>
          <w:tab w:pos="853" w:val="left" w:leader="none"/>
        </w:tabs>
        <w:spacing w:line="240" w:lineRule="auto" w:before="95" w:after="0"/>
        <w:ind w:left="852" w:right="0" w:hanging="361"/>
        <w:jc w:val="left"/>
        <w:rPr>
          <w:rFonts w:ascii="Arial" w:hAnsi="Arial"/>
          <w:sz w:val="24"/>
        </w:rPr>
      </w:pPr>
      <w:r>
        <w:rPr>
          <w:color w:val="0D0D0D"/>
          <w:sz w:val="24"/>
        </w:rPr>
        <w:t>Kerala State Electricity Board (KSEB),</w:t>
      </w:r>
      <w:r>
        <w:rPr>
          <w:color w:val="0D0D0D"/>
          <w:spacing w:val="2"/>
          <w:sz w:val="24"/>
        </w:rPr>
        <w:t> </w:t>
      </w:r>
      <w:r>
        <w:rPr>
          <w:color w:val="0D0D0D"/>
          <w:sz w:val="24"/>
        </w:rPr>
        <w:t>Kerala</w:t>
      </w:r>
    </w:p>
    <w:p>
      <w:pPr>
        <w:pStyle w:val="BodyText"/>
        <w:spacing w:before="4"/>
      </w:pPr>
    </w:p>
    <w:p>
      <w:pPr>
        <w:pStyle w:val="Heading1"/>
        <w:spacing w:before="1"/>
        <w:rPr>
          <w:u w:val="none"/>
        </w:rPr>
      </w:pPr>
      <w:r>
        <w:rPr>
          <w:color w:val="0D0D0D"/>
          <w:u w:val="thick" w:color="0D0D0D"/>
        </w:rPr>
        <w:t>CERTIFICATIONS AND ACHIEVEMENTS:</w:t>
      </w:r>
    </w:p>
    <w:p>
      <w:pPr>
        <w:pStyle w:val="BodyText"/>
        <w:spacing w:before="11"/>
        <w:rPr>
          <w:b/>
          <w:sz w:val="15"/>
        </w:rPr>
      </w:pPr>
    </w:p>
    <w:p>
      <w:pPr>
        <w:pStyle w:val="ListParagraph"/>
        <w:numPr>
          <w:ilvl w:val="1"/>
          <w:numId w:val="1"/>
        </w:numPr>
        <w:tabs>
          <w:tab w:pos="828" w:val="left" w:leader="none"/>
          <w:tab w:pos="829" w:val="left" w:leader="none"/>
        </w:tabs>
        <w:spacing w:line="230" w:lineRule="auto" w:before="99" w:after="0"/>
        <w:ind w:left="828" w:right="805" w:hanging="360"/>
        <w:jc w:val="left"/>
        <w:rPr>
          <w:rFonts w:ascii="Arial" w:hAnsi="Arial"/>
          <w:sz w:val="22"/>
        </w:rPr>
      </w:pPr>
      <w:r>
        <w:rPr>
          <w:color w:val="0D0D0D"/>
          <w:sz w:val="24"/>
        </w:rPr>
        <w:t>Published paper on “Boost Converter with Improved Voltage Conversion Ratio</w:t>
      </w:r>
      <w:r>
        <w:rPr>
          <w:color w:val="0D0D0D"/>
          <w:spacing w:val="-25"/>
          <w:sz w:val="24"/>
        </w:rPr>
        <w:t> </w:t>
      </w:r>
      <w:r>
        <w:rPr>
          <w:color w:val="0D0D0D"/>
          <w:sz w:val="24"/>
        </w:rPr>
        <w:t>Using Bootstrap Capacitors and Boost Inductors”, IJES, Volume 5, Issue 8, PP 37-47,</w:t>
      </w:r>
      <w:r>
        <w:rPr>
          <w:color w:val="0D0D0D"/>
          <w:spacing w:val="-21"/>
          <w:sz w:val="24"/>
        </w:rPr>
        <w:t> </w:t>
      </w:r>
      <w:r>
        <w:rPr>
          <w:color w:val="0D0D0D"/>
          <w:sz w:val="24"/>
        </w:rPr>
        <w:t>2016.</w:t>
      </w:r>
    </w:p>
    <w:p>
      <w:pPr>
        <w:pStyle w:val="ListParagraph"/>
        <w:numPr>
          <w:ilvl w:val="1"/>
          <w:numId w:val="1"/>
        </w:numPr>
        <w:tabs>
          <w:tab w:pos="828" w:val="left" w:leader="none"/>
          <w:tab w:pos="829" w:val="left" w:leader="none"/>
        </w:tabs>
        <w:spacing w:line="230" w:lineRule="auto" w:before="12" w:after="0"/>
        <w:ind w:left="828" w:right="431" w:hanging="360"/>
        <w:jc w:val="left"/>
        <w:rPr>
          <w:rFonts w:ascii="Arial" w:hAnsi="Arial"/>
          <w:sz w:val="22"/>
        </w:rPr>
      </w:pPr>
      <w:r>
        <w:rPr>
          <w:color w:val="0D0D0D"/>
          <w:sz w:val="24"/>
        </w:rPr>
        <w:t>Published paper on “Comparative Study of Interleaved Buck Converters”, IJRREEE,</w:t>
      </w:r>
      <w:r>
        <w:rPr>
          <w:color w:val="0D0D0D"/>
          <w:spacing w:val="-26"/>
          <w:sz w:val="24"/>
        </w:rPr>
        <w:t> </w:t>
      </w:r>
      <w:r>
        <w:rPr>
          <w:color w:val="0D0D0D"/>
          <w:sz w:val="24"/>
        </w:rPr>
        <w:t>Vol. 4, Issue 2, pp: (61-68), Month: April - June</w:t>
      </w:r>
      <w:r>
        <w:rPr>
          <w:color w:val="0D0D0D"/>
          <w:spacing w:val="-2"/>
          <w:sz w:val="24"/>
        </w:rPr>
        <w:t> </w:t>
      </w:r>
      <w:r>
        <w:rPr>
          <w:color w:val="0D0D0D"/>
          <w:sz w:val="24"/>
        </w:rPr>
        <w:t>2017.</w:t>
      </w:r>
    </w:p>
    <w:p>
      <w:pPr>
        <w:pStyle w:val="ListParagraph"/>
        <w:numPr>
          <w:ilvl w:val="1"/>
          <w:numId w:val="1"/>
        </w:numPr>
        <w:tabs>
          <w:tab w:pos="828" w:val="left" w:leader="none"/>
          <w:tab w:pos="829" w:val="left" w:leader="none"/>
        </w:tabs>
        <w:spacing w:line="230" w:lineRule="auto" w:before="13" w:after="0"/>
        <w:ind w:left="828" w:right="1139" w:hanging="360"/>
        <w:jc w:val="left"/>
        <w:rPr>
          <w:rFonts w:ascii="Arial" w:hAnsi="Arial"/>
          <w:sz w:val="22"/>
        </w:rPr>
      </w:pPr>
      <w:r>
        <w:rPr>
          <w:color w:val="0D0D0D"/>
          <w:sz w:val="24"/>
        </w:rPr>
        <w:t>Published paper on “Interleaved Buck Converter with Synchronous</w:t>
      </w:r>
      <w:r>
        <w:rPr>
          <w:color w:val="0D0D0D"/>
          <w:spacing w:val="-24"/>
          <w:sz w:val="24"/>
        </w:rPr>
        <w:t> </w:t>
      </w:r>
      <w:r>
        <w:rPr>
          <w:color w:val="0D0D0D"/>
          <w:sz w:val="24"/>
        </w:rPr>
        <w:t>Rectification”, IJEAST, Vol. 2, ISSN No. 2455-2143, Pages 160-166, March - April</w:t>
      </w:r>
      <w:r>
        <w:rPr>
          <w:color w:val="0D0D0D"/>
          <w:spacing w:val="-3"/>
          <w:sz w:val="24"/>
        </w:rPr>
        <w:t> </w:t>
      </w:r>
      <w:r>
        <w:rPr>
          <w:color w:val="0D0D0D"/>
          <w:sz w:val="24"/>
        </w:rPr>
        <w:t>2017.</w:t>
      </w:r>
    </w:p>
    <w:p>
      <w:pPr>
        <w:pStyle w:val="ListParagraph"/>
        <w:numPr>
          <w:ilvl w:val="1"/>
          <w:numId w:val="1"/>
        </w:numPr>
        <w:tabs>
          <w:tab w:pos="828" w:val="left" w:leader="none"/>
          <w:tab w:pos="829" w:val="left" w:leader="none"/>
        </w:tabs>
        <w:spacing w:line="230" w:lineRule="auto" w:before="13" w:after="0"/>
        <w:ind w:left="828" w:right="1216" w:hanging="360"/>
        <w:jc w:val="left"/>
        <w:rPr>
          <w:rFonts w:ascii="Arial" w:hAnsi="Arial"/>
          <w:sz w:val="22"/>
        </w:rPr>
      </w:pPr>
      <w:r>
        <w:rPr>
          <w:color w:val="0D0D0D"/>
          <w:sz w:val="24"/>
        </w:rPr>
        <w:t>Attended Lego Ingenium 2011, the energy conservation based event organized</w:t>
      </w:r>
      <w:r>
        <w:rPr>
          <w:color w:val="0D0D0D"/>
          <w:spacing w:val="-13"/>
          <w:sz w:val="24"/>
        </w:rPr>
        <w:t> </w:t>
      </w:r>
      <w:r>
        <w:rPr>
          <w:color w:val="0D0D0D"/>
          <w:sz w:val="24"/>
        </w:rPr>
        <w:t>by EMF in association with KSEBEA (Kerala State Electricity Board Engineer’s Association).</w:t>
      </w:r>
    </w:p>
    <w:p>
      <w:pPr>
        <w:pStyle w:val="BodyText"/>
        <w:rPr>
          <w:sz w:val="30"/>
        </w:rPr>
      </w:pPr>
    </w:p>
    <w:p>
      <w:pPr>
        <w:pStyle w:val="BodyText"/>
        <w:spacing w:line="235" w:lineRule="auto"/>
        <w:ind w:left="107" w:right="95"/>
      </w:pPr>
      <w:r>
        <w:rPr>
          <w:b/>
          <w:color w:val="0D0D0D"/>
        </w:rPr>
        <w:t>I Vinny Babu</w:t>
      </w:r>
      <w:r>
        <w:rPr>
          <w:color w:val="0D0D0D"/>
        </w:rPr>
        <w:t>, hereby declare that all details furnished above are satisfactorily true to the best of my knowledge.</w:t>
      </w:r>
    </w:p>
    <w:p>
      <w:pPr>
        <w:pStyle w:val="BodyText"/>
        <w:spacing w:before="1"/>
        <w:rPr>
          <w:sz w:val="36"/>
        </w:rPr>
      </w:pPr>
    </w:p>
    <w:p>
      <w:pPr>
        <w:pStyle w:val="BodyText"/>
        <w:ind w:left="3377" w:right="2111"/>
        <w:jc w:val="center"/>
      </w:pPr>
      <w:r>
        <w:rPr>
          <w:color w:val="0D0D0D"/>
        </w:rPr>
        <w:t>VINNY BABU</w:t>
      </w:r>
    </w:p>
    <w:sectPr>
      <w:pgSz w:w="12240" w:h="15840"/>
      <w:pgMar w:top="1080" w:bottom="280" w:left="90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66" w:hanging="361"/>
        <w:jc w:val="left"/>
      </w:pPr>
      <w:rPr>
        <w:rFonts w:hint="default" w:ascii="Times New Roman" w:hAnsi="Times New Roman" w:eastAsia="Times New Roman" w:cs="Times New Roman"/>
        <w:color w:val="0D0D0D"/>
        <w:spacing w:val="-4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●"/>
      <w:lvlJc w:val="left"/>
      <w:pPr>
        <w:ind w:left="828" w:hanging="360"/>
      </w:pPr>
      <w:rPr>
        <w:rFonts w:hint="default"/>
        <w:w w:val="1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2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3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4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5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6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7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8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11"/>
      <w:outlineLvl w:val="1"/>
    </w:pPr>
    <w:rPr>
      <w:rFonts w:ascii="Times New Roman" w:hAnsi="Times New Roman" w:eastAsia="Times New Roman" w:cs="Times New Roman"/>
      <w:b/>
      <w:bCs/>
      <w:sz w:val="24"/>
      <w:szCs w:val="24"/>
      <w:u w:val="single" w:color="00000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75"/>
      <w:ind w:left="3377" w:right="3130"/>
      <w:jc w:val="center"/>
    </w:pPr>
    <w:rPr>
      <w:rFonts w:ascii="Times New Roman" w:hAnsi="Times New Roman" w:eastAsia="Times New Roman" w:cs="Times New Roman"/>
      <w:b/>
      <w:bCs/>
      <w:sz w:val="32"/>
      <w:szCs w:val="32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3"/>
      <w:ind w:left="828" w:hanging="361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92"/>
      <w:ind w:left="383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vinnybabu.mec@gmail.com" TargetMode="Externa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2021-10-07T18:42:57Z</dcterms:created>
  <dcterms:modified xsi:type="dcterms:W3CDTF">2021-10-07T18:42:57Z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2021-10-07T00:00:00Z</vt:filetime>
  </property>
</Properties>
</file>